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微软雅黑" w:hAnsi="微软雅黑" w:eastAsia="微软雅黑" w:cs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第六周作业解析【港股REITS】手机端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 w:val="0"/>
          <w:bCs w:val="0"/>
          <w:color w:val="0F3BF9"/>
          <w:kern w:val="0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color w:val="0F3BF9"/>
          <w:kern w:val="0"/>
          <w:sz w:val="30"/>
          <w:szCs w:val="30"/>
          <w:lang w:val="en-US" w:eastAsia="zh-CN"/>
        </w:rPr>
        <w:t>第六周作业解析视频：详见微淼课程学习资料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本周重要操作工具和网址统计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微软雅黑" w:hAnsi="微软雅黑" w:eastAsia="微软雅黑" w:cs="微软雅黑"/>
          <w:i w:val="0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富途牛牛APP</w:t>
      </w:r>
    </w:p>
    <w:p>
      <w:pPr>
        <w:numPr>
          <w:ilvl w:val="0"/>
          <w:numId w:val="0"/>
        </w:numPr>
        <w:rPr>
          <w:rStyle w:val="12"/>
          <w:rFonts w:hint="eastAsia" w:ascii="微软雅黑" w:hAnsi="微软雅黑" w:eastAsia="微软雅黑" w:cs="微软雅黑"/>
          <w:i w:val="0"/>
          <w:kern w:val="0"/>
          <w:sz w:val="21"/>
          <w:szCs w:val="21"/>
          <w:lang w:val="en-US" w:eastAsia="zh-CN" w:bidi="ar"/>
        </w:rPr>
      </w:pP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  <w:t>本周计算公式总结：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港股REITS股息率法好价格 = TTM股息÷10%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资产负债率=总债项÷总资产×100%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股息率=TTM股息÷当前股价×100%</w:t>
      </w:r>
    </w:p>
    <w:p>
      <w:pPr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olor w:val="0000FF"/>
          <w:sz w:val="18"/>
          <w:szCs w:val="18"/>
        </w:rPr>
        <w:t>备注：</w:t>
      </w:r>
      <w:r>
        <w:rPr>
          <w:rFonts w:hint="eastAsia" w:ascii="微软雅黑" w:hAnsi="微软雅黑" w:eastAsia="微软雅黑" w:cs="微软雅黑"/>
          <w:i w:val="0"/>
          <w:iCs w:val="0"/>
          <w:color w:val="0000FF"/>
          <w:sz w:val="18"/>
          <w:szCs w:val="18"/>
          <w:lang w:val="en-US" w:eastAsia="zh-CN"/>
        </w:rPr>
        <w:t>TTM是最近4个季度的意思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作业题</w:t>
      </w:r>
    </w:p>
    <w:p>
      <w:pPr>
        <w:widowControl/>
        <w:numPr>
          <w:ilvl w:val="0"/>
          <w:numId w:val="4"/>
        </w:numPr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选出港股中市值大于100亿的REITS，并且计算出以下港股REITS的</w:t>
      </w:r>
      <w: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好价格。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微软雅黑"/>
          <w:i w:val="0"/>
          <w:iCs w:val="0"/>
          <w:color w:val="0000FF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0000FF"/>
          <w:sz w:val="20"/>
          <w:szCs w:val="20"/>
          <w:lang w:val="en-US" w:eastAsia="zh-CN"/>
        </w:rPr>
        <w:t>备注：计算领展、置富和越秀的好价格</w:t>
      </w: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32"/>
          <w:szCs w:val="22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选出港股中市值大于100亿的REITS</w:t>
      </w:r>
    </w:p>
    <w:p>
      <w:pPr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具体的操作步骤如下:使用富途牛牛APP</w:t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第1步：点击“放大镜”；</w:t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第2步：输入“BK1087”；</w:t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第3步：点击“房地产信托”</w:t>
      </w:r>
    </w:p>
    <w:p>
      <w:pPr>
        <w:rPr>
          <w:rFonts w:hint="default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备注：香港行业中房地产信托的代码是：BK1087，所以直接搜素就可以啦。</w:t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549265" cy="1323340"/>
            <wp:effectExtent l="0" t="0" r="13335" b="254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然后看到以下图片，图中下方红色框内为香港REITS，可以上下滑动看到香港全部的REITS，蓝色框内可以左右滑动，找到“市值”。</w:t>
      </w:r>
    </w:p>
    <w:p>
      <w:pPr>
        <w:pStyle w:val="15"/>
        <w:ind w:left="0" w:leftChars="0" w:firstLine="0" w:firstLineChars="0"/>
      </w:pPr>
      <w:r>
        <w:drawing>
          <wp:inline distT="0" distB="0" distL="114300" distR="114300">
            <wp:extent cx="5089525" cy="4923155"/>
            <wp:effectExtent l="0" t="0" r="635" b="146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t="7472" b="4755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</w:t>
      </w:r>
      <w:r>
        <w:rPr>
          <w:rFonts w:hint="eastAsia" w:ascii="微软雅黑" w:hAnsi="微软雅黑" w:eastAsia="微软雅黑" w:cs="微软雅黑"/>
          <w:sz w:val="24"/>
          <w:szCs w:val="24"/>
        </w:rPr>
        <w:t>“</w:t>
      </w:r>
      <w:r>
        <w:rPr>
          <w:rFonts w:hint="default" w:ascii="微软雅黑" w:hAnsi="微软雅黑" w:eastAsia="微软雅黑" w:cs="微软雅黑"/>
          <w:sz w:val="24"/>
          <w:szCs w:val="24"/>
        </w:rPr>
        <w:t>市值</w:t>
      </w:r>
      <w:r>
        <w:rPr>
          <w:rFonts w:hint="eastAsia" w:ascii="微软雅黑" w:hAnsi="微软雅黑" w:eastAsia="微软雅黑" w:cs="微软雅黑"/>
          <w:sz w:val="24"/>
          <w:szCs w:val="24"/>
        </w:rPr>
        <w:t>”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旁边的倒三角排序</w:t>
      </w:r>
      <w:r>
        <w:rPr>
          <w:rFonts w:hint="eastAsia" w:ascii="微软雅黑" w:hAnsi="微软雅黑" w:eastAsia="微软雅黑" w:cs="微软雅黑"/>
          <w:sz w:val="24"/>
          <w:szCs w:val="24"/>
        </w:rPr>
        <w:t>，让当日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由大到小</w:t>
      </w:r>
      <w:r>
        <w:rPr>
          <w:rFonts w:hint="default" w:ascii="微软雅黑" w:hAnsi="微软雅黑" w:eastAsia="微软雅黑" w:cs="微软雅黑"/>
          <w:sz w:val="24"/>
          <w:szCs w:val="24"/>
        </w:rPr>
        <w:t>排序，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亿的REITs一般物业质量都相对比较好</w:t>
      </w:r>
      <w:r>
        <w:rPr>
          <w:rFonts w:hint="eastAsia" w:ascii="微软雅黑" w:hAnsi="微软雅黑" w:eastAsia="微软雅黑" w:cs="微软雅黑"/>
          <w:sz w:val="24"/>
          <w:szCs w:val="24"/>
        </w:rPr>
        <w:t>。</w:t>
      </w:r>
    </w:p>
    <w:p>
      <w:pPr>
        <w:pStyle w:val="15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7055" cy="5944235"/>
            <wp:effectExtent l="0" t="0" r="1905" b="14605"/>
            <wp:docPr id="45" name="图片 45" descr="手机房产信托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手机房产信托2_副本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7055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default" w:ascii="微软雅黑" w:hAnsi="微软雅黑" w:eastAsia="微软雅黑" w:cs="微软雅黑"/>
          <w:sz w:val="24"/>
          <w:szCs w:val="24"/>
        </w:rPr>
        <w:t>根据排序结果，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我们选出市值大于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亿的REITs</w:t>
      </w:r>
      <w:r>
        <w:rPr>
          <w:rFonts w:hint="default" w:ascii="微软雅黑" w:hAnsi="微软雅黑" w:eastAsia="微软雅黑" w:cs="微软雅黑"/>
          <w:kern w:val="0"/>
          <w:sz w:val="24"/>
          <w:szCs w:val="24"/>
        </w:rPr>
        <w:t>，</w:t>
      </w:r>
      <w:r>
        <w:rPr>
          <w:rFonts w:hint="default" w:ascii="微软雅黑" w:hAnsi="微软雅黑" w:eastAsia="微软雅黑" w:cs="微软雅黑"/>
          <w:sz w:val="24"/>
          <w:szCs w:val="24"/>
        </w:rPr>
        <w:t>把市值</w:t>
      </w:r>
      <w:r>
        <w:rPr>
          <w:rFonts w:hint="eastAsia" w:ascii="微软雅黑" w:hAnsi="微软雅黑" w:eastAsia="微软雅黑" w:cs="微软雅黑"/>
          <w:sz w:val="24"/>
          <w:szCs w:val="24"/>
        </w:rPr>
        <w:t>小于100</w:t>
      </w:r>
      <w:r>
        <w:rPr>
          <w:rFonts w:hint="default" w:ascii="微软雅黑" w:hAnsi="微软雅黑" w:eastAsia="微软雅黑" w:cs="微软雅黑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sz w:val="24"/>
          <w:szCs w:val="24"/>
        </w:rPr>
        <w:t>的REITs淘汰掉，这样就只剩下领展房产基金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00823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、冠君产业信托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02778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、置富产业信托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、越秀房产信托基金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00405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、汇贤产业信托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87001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5只REITs了。</w:t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以上就是问题一中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选出港股中市值大于100亿的REITS的操作，大家一定要学会后动手操作一下。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精挑细选港股REITS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1、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每年分红且长期稳定增长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2、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地段要好，整体出租率大于90%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4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3、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资产负债率小于40%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查看每年的分红情况，把不稳定增长的淘汰掉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end"/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具体的操作步骤如下:</w:t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第1步：打开网址链接；</w:t>
      </w:r>
    </w:p>
    <w:p>
      <w:pPr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第2步：点击“派息记录”</w:t>
      </w:r>
    </w:p>
    <w:p>
      <w:r>
        <w:drawing>
          <wp:inline distT="0" distB="0" distL="114300" distR="114300">
            <wp:extent cx="5553075" cy="1943735"/>
            <wp:effectExtent l="0" t="0" r="9525" b="698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1、领展房地产基金（00823）--派息情况</w:t>
      </w:r>
    </w:p>
    <w:p>
      <w:r>
        <w:drawing>
          <wp:inline distT="0" distB="0" distL="114300" distR="114300">
            <wp:extent cx="5551805" cy="2663825"/>
            <wp:effectExtent l="0" t="0" r="10795" b="317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备注：香港一年分红2次，比如2019年度分红是看2019/03的中期和末期的派息之和。由于派息数据图片过长，仅截取部分相关派息内容。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过去10多年领展每年都有现金分红，而且分红金额长期稳定增长，符合标准。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微软雅黑" w:hAnsi="微软雅黑" w:eastAsia="微软雅黑" w:cs="微软雅黑"/>
          <w:b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2、置富产业信托（00778）--派息情况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1170" cy="2109470"/>
            <wp:effectExtent l="0" t="0" r="11430" b="889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rcRect t="-1096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过去10年置富每年都有现金分红，而且分红金额长期稳定增长，符合标准。</w:t>
      </w:r>
    </w:p>
    <w:p>
      <w:pPr>
        <w:widowControl/>
        <w:numPr>
          <w:ilvl w:val="0"/>
          <w:numId w:val="0"/>
        </w:numPr>
        <w:jc w:val="center"/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微软雅黑" w:hAnsi="微软雅黑" w:eastAsia="微软雅黑" w:cs="微软雅黑"/>
          <w:b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3、冠君产业信托（02778）--派息情况</w:t>
      </w:r>
    </w:p>
    <w:p>
      <w:pPr>
        <w:widowControl/>
        <w:numPr>
          <w:ilvl w:val="0"/>
          <w:numId w:val="0"/>
        </w:numPr>
        <w:jc w:val="center"/>
      </w:pPr>
    </w:p>
    <w:p>
      <w:pPr>
        <w:widowControl/>
        <w:numPr>
          <w:ilvl w:val="0"/>
          <w:numId w:val="0"/>
        </w:numPr>
        <w:jc w:val="center"/>
      </w:pPr>
      <w:r>
        <w:drawing>
          <wp:inline distT="0" distB="0" distL="114300" distR="114300">
            <wp:extent cx="5556885" cy="3231515"/>
            <wp:effectExtent l="0" t="0" r="5715" b="1460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12"/>
                    <a:srcRect b="35850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过去10多年冠君每年都有现金分红，长期稳定，但是2007年到2015年分红持续减少，虽然2015年到2019年有所增长，但是整体来看没有显著增长，不符合标准。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4、越秀房地产投资信托基金（00405）--派息情况</w:t>
      </w:r>
    </w:p>
    <w:p>
      <w:pPr>
        <w:widowControl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303520" cy="2842895"/>
            <wp:effectExtent l="0" t="0" r="0" b="6985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rcRect b="4106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jc w:val="both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从以上分红数据中我们可以看出，过去10多年越秀每年都有现金分红，从2007年到2017年整体缓慢增长，虽然2018年到2019年分红金额有所下滑，但是从长期来看分红金额长期缓慢增长，符合标准。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5、汇贤产业信托（87001）--派息情况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6250" cy="2985135"/>
            <wp:effectExtent l="0" t="0" r="6350" b="190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 b="4097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从以上分红数据中我们可以看出，过去多年汇贤每年都有现金分红，长期稳定，但是长期没有明显增长，仅仅2011年至2016年增长，随后2017年到2019年分红逐年减少。整体增长的年份太短，趋势不明显，不符合标准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综上整理得出</w:t>
      </w:r>
    </w:p>
    <w:p>
      <w:pPr>
        <w:widowControl/>
        <w:numPr>
          <w:ilvl w:val="0"/>
          <w:numId w:val="0"/>
        </w:numPr>
        <w:ind w:leftChars="0"/>
        <w:jc w:val="left"/>
        <w:rPr>
          <w:rFonts w:ascii="sans-serif" w:hAnsi="sans-serif" w:eastAsia="sans-serif" w:cs="sans-serif"/>
          <w:i w:val="0"/>
          <w:caps w:val="0"/>
          <w:color w:val="000000"/>
          <w:spacing w:val="0"/>
          <w:sz w:val="19"/>
          <w:szCs w:val="19"/>
        </w:rPr>
      </w:pPr>
      <w:bookmarkStart w:id="0" w:name="_GoBack"/>
      <w:r>
        <w:rPr>
          <w:rFonts w:ascii="sans-serif" w:hAnsi="sans-serif" w:eastAsia="sans-serif" w:cs="sans-serif"/>
          <w:i w:val="0"/>
          <w:caps w:val="0"/>
          <w:color w:val="000000"/>
          <w:spacing w:val="0"/>
          <w:sz w:val="19"/>
          <w:szCs w:val="19"/>
        </w:rPr>
        <w:drawing>
          <wp:inline distT="0" distB="0" distL="114300" distR="114300">
            <wp:extent cx="5521325" cy="2564765"/>
            <wp:effectExtent l="0" t="0" r="10795" b="10795"/>
            <wp:docPr id="36" name="图片 4" descr="1597569264403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1597569264403296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查看地段要好，整体出租率大于90%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点击“公司概括”，查看公司物业出租率。</w:t>
      </w:r>
    </w:p>
    <w:p>
      <w:pP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凤凰网的这部分资料是从对应REITS的财报中摘录得来。未来等学习到财报，可以认真的通过财报来判断出租率情况。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 物业出租率情况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drawing>
          <wp:inline distT="0" distB="0" distL="114300" distR="114300">
            <wp:extent cx="5554345" cy="2275205"/>
            <wp:effectExtent l="0" t="0" r="8255" b="10795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rcRect b="49011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5615" cy="2863850"/>
            <wp:effectExtent l="0" t="0" r="6985" b="127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备注：查找物业组合的出租率</w:t>
      </w:r>
    </w:p>
    <w:p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领展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的年报显示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旗下物业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组合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出租率很高，整体出租率大于95%，地段很好。符合标准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2、置富产业信托（00778）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物业出租率情况</w:t>
      </w:r>
    </w:p>
    <w:p>
      <w:r>
        <w:drawing>
          <wp:inline distT="0" distB="0" distL="114300" distR="114300">
            <wp:extent cx="5556885" cy="3104515"/>
            <wp:effectExtent l="0" t="0" r="5715" b="4445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备注：查找物业组合的出租率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置富的年报显示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旗下物业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组合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出租率很高，整体出租率大于9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%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符合标准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微软雅黑"/>
          <w:color w:val="0000FF"/>
          <w:sz w:val="24"/>
          <w:szCs w:val="32"/>
          <w:lang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3、越秀房地产投资信托基金（00405）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物业出租率情况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4980" cy="1699260"/>
            <wp:effectExtent l="0" t="0" r="7620" b="762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rcRect b="6420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554980" cy="1205230"/>
            <wp:effectExtent l="0" t="0" r="7620" b="1397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rcRect t="7461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65" w:rightChars="-31"/>
        <w:rPr>
          <w:rFonts w:hint="default" w:ascii="微软雅黑" w:hAnsi="微软雅黑" w:eastAsia="微软雅黑" w:cs="微软雅黑"/>
          <w:color w:val="auto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越秀通过凤凰网查询，披露的物业情况过少，仅仅披露了酒店和公寓的入住率情况，没有披露整体物业组合的出租率。这时我们只能通过财报查询，经过查询，越秀的物业出租率合计92.6%。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出租率大于9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%，地段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也非常优秀，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符合标准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eastAsia="zh-CN"/>
        </w:rPr>
        <w:t>。</w:t>
      </w:r>
    </w:p>
    <w:p>
      <w:pPr>
        <w:ind w:right="-65" w:rightChars="-31"/>
        <w:rPr>
          <w:rFonts w:hint="default" w:ascii="微软雅黑" w:hAnsi="微软雅黑" w:eastAsia="微软雅黑" w:cs="微软雅黑"/>
          <w:color w:val="0000FF"/>
          <w:sz w:val="22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2"/>
          <w:szCs w:val="28"/>
          <w:lang w:val="en-US" w:eastAsia="zh-CN"/>
        </w:rPr>
        <w:t>备注：仅仅通过查看网址数据很容易遗漏和错杀一些有投资价值的REITS，市场上很多人是由于不会看财报，错过了很多投资机会。同学们学完财报自然就会查询，暂时大家不需要过多的关注。</w:t>
      </w:r>
    </w:p>
    <w:p>
      <w:pP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那么综上整理得出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93715" cy="1743075"/>
            <wp:effectExtent l="0" t="0" r="14605" b="952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b="37595"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资产负债率小于40%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视频笔记中：资产负债率=总债项÷总资产</w:t>
      </w:r>
    </w:p>
    <w:p>
      <w:pPr>
        <w:rPr>
          <w:rFonts w:hint="default" w:ascii="微软雅黑" w:hAnsi="微软雅黑" w:eastAsia="微软雅黑" w:cs="微软雅黑"/>
          <w:color w:val="0000FF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对于REITS来说，这里的总债项就相当于总负债的意思。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点击“资产负债率”，查看公司负债情况。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 资产负债率情况</w:t>
      </w:r>
    </w:p>
    <w:p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457190" cy="4526280"/>
            <wp:effectExtent l="0" t="0" r="13970" b="0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领展资产负债率=总债项÷总资产×100%=34598÷207619×100%=16.7%，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大幅小于40%，符合标准。</w:t>
      </w:r>
    </w:p>
    <w:p>
      <w:pPr>
        <w:widowControl/>
        <w:numPr>
          <w:ilvl w:val="0"/>
          <w:numId w:val="0"/>
        </w:numPr>
        <w:ind w:right="420" w:rightChars="200"/>
        <w:jc w:val="left"/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2、越秀房地产投资信托基金（00405）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资产负债率情况</w:t>
      </w:r>
    </w:p>
    <w:p>
      <w:pPr>
        <w:widowControl/>
        <w:numPr>
          <w:ilvl w:val="0"/>
          <w:numId w:val="0"/>
        </w:numPr>
        <w:ind w:right="420" w:rightChars="200"/>
        <w:jc w:val="left"/>
      </w:pPr>
      <w:r>
        <w:drawing>
          <wp:inline distT="0" distB="0" distL="114300" distR="114300">
            <wp:extent cx="5551170" cy="4610735"/>
            <wp:effectExtent l="0" t="0" r="11430" b="698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越秀的资产负债率=总债项÷总资产×100%=14281589÷36425456×100%=39.2%，小于40%，没有发生债务危机的可能，符合标准。</w:t>
      </w: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3、置富产业信托（00778）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资产负债率情况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554980" cy="4653915"/>
            <wp:effectExtent l="0" t="0" r="762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置富的资产负债率=总债项÷总资产×100%=8479179÷43049489×100%=19.7%，小于40%，没有发生债务危机的可能，符合标准。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综上整理得出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</w:pPr>
      <w:r>
        <w:drawing>
          <wp:inline distT="0" distB="0" distL="114300" distR="114300">
            <wp:extent cx="5654675" cy="1779270"/>
            <wp:effectExtent l="0" t="0" r="14605" b="381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计算出以下港股REITS的好价格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率大于10%的时候，是很好的买进时机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，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率小于5%的时候，是很好的卖出时机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因此，当目标REITS的股息率＝10%时，目标REITS的价格达到好价格的临界值。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股息率法好价格=TTM股息÷10%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股息率=TTM股息÷当前股价×100%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eastAsia" w:ascii="微软雅黑" w:hAnsi="微软雅黑" w:eastAsia="微软雅黑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我们以越秀房产信托为例，计算它的好价格。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第一步：查询越秀房产信托的TTM股息并计算好价格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end"/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685155" cy="2604135"/>
            <wp:effectExtent l="0" t="0" r="14605" b="1905"/>
            <wp:docPr id="1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5155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香港的REITS一般是一年分红2次，那么查询起来，把最近的两次分红（中期业绩＋末期业绩）相加，就是越秀的股息。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越秀TTM股息=0.1098＋0.1167=0.2265港元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越秀股息率法好价格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=TTM股息÷10%=0.2265÷10%=2.265港元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第二步：查询越秀房产信托的股价并计算股息率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4"/>
          <w:szCs w:val="32"/>
          <w:lang w:val="en-US" w:eastAsia="zh-CN"/>
        </w:rPr>
        <w:t>直接富途牛牛APP中按照市值排序后的结果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4066540" cy="3679825"/>
            <wp:effectExtent l="0" t="0" r="2540" b="825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越秀当前股价=3.690港元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越秀股息率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=TTM股息÷当前股价×100%=0.2265÷3.690×100%=6.14%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其他的REITS，需要同学们自己进行好价格的计算啦。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第三步：记录数据</w:t>
      </w:r>
    </w:p>
    <w:tbl>
      <w:tblPr>
        <w:tblStyle w:val="8"/>
        <w:tblW w:w="8778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2"/>
        <w:gridCol w:w="862"/>
        <w:gridCol w:w="1375"/>
        <w:gridCol w:w="980"/>
        <w:gridCol w:w="899"/>
        <w:gridCol w:w="2060"/>
        <w:gridCol w:w="2070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序号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代码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名称</w:t>
            </w:r>
          </w:p>
        </w:tc>
        <w:tc>
          <w:tcPr>
            <w:tcW w:w="98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当前股价</w:t>
            </w:r>
          </w:p>
        </w:tc>
        <w:tc>
          <w:tcPr>
            <w:tcW w:w="899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</w:t>
            </w:r>
          </w:p>
        </w:tc>
        <w:tc>
          <w:tcPr>
            <w:tcW w:w="206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TTM股息率=TTM股息÷当前股价×100%</w:t>
            </w:r>
          </w:p>
        </w:tc>
        <w:tc>
          <w:tcPr>
            <w:tcW w:w="207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好价格=TTM股息÷10%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00823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领展房产基金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00778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置富产业信托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00405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越秀产业信托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3.690</w:t>
            </w: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0.2265</w:t>
            </w: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6.14%</w:t>
            </w: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2.265</w:t>
            </w:r>
          </w:p>
        </w:tc>
      </w:tr>
    </w:tbl>
    <w:p>
      <w:pP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说明：</w:t>
      </w:r>
      <w:r>
        <w:rPr>
          <w:rFonts w:hint="eastAsia" w:ascii="微软雅黑" w:hAnsi="微软雅黑" w:eastAsia="微软雅黑" w:cs="微软雅黑"/>
          <w:b w:val="0"/>
          <w:bCs w:val="0"/>
          <w:kern w:val="0"/>
          <w:sz w:val="24"/>
          <w:szCs w:val="24"/>
          <w:lang w:val="en-US" w:eastAsia="zh-CN"/>
        </w:rPr>
        <w:t>上图中越秀价格为3.690港元，远高于好价格，股息率为6.14%比银行存款还是高很多的。所以我们要做的是继续学习技能耐心等待，等待也是一种实操，甚至是一种更高级的实操。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多掌握一个核心工具的投资方法，我们赚钱的机会就会大幅增加，我们实现财务自由的时间就可能大幅缩短。</w:t>
      </w:r>
    </w:p>
    <w:p>
      <w:pPr>
        <w:pStyle w:val="7"/>
        <w:keepNext w:val="0"/>
        <w:keepLines w:val="0"/>
        <w:widowControl/>
        <w:suppressLineNumbers w:val="0"/>
        <w:spacing w:before="144" w:beforeAutospacing="0" w:after="144" w:afterAutospacing="0" w:line="240" w:lineRule="auto"/>
        <w:ind w:left="0" w:right="0" w:firstLine="0"/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before="144" w:beforeAutospacing="0" w:after="144" w:afterAutospacing="0" w:line="240" w:lineRule="auto"/>
        <w:ind w:left="0" w:right="0" w:firstLine="0"/>
        <w:rPr>
          <w:rFonts w:hint="default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  <w:t>第六周作业你学到的重点知识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44" w:beforeAutospacing="0" w:after="144" w:afterAutospacing="0" w:line="240" w:lineRule="auto"/>
        <w:ind w:left="0" w:right="0" w:firstLine="0"/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海选和精挑细选港股、美股REITS好公司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44" w:beforeAutospacing="0" w:after="144" w:afterAutospacing="0" w:line="240" w:lineRule="auto"/>
        <w:ind w:left="0" w:right="0" w:firstLine="0"/>
        <w:rPr>
          <w:rFonts w:hint="default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计算港股、美股REITS的好价格</w:t>
      </w:r>
    </w:p>
    <w:sectPr>
      <w:headerReference r:id="rId3" w:type="default"/>
      <w:footerReference r:id="rId4" w:type="default"/>
      <w:pgSz w:w="11906" w:h="16838"/>
      <w:pgMar w:top="1440" w:right="1576" w:bottom="1440" w:left="1576" w:header="907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MicrosoftYaHei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港">
    <w:altName w:val="汉仪书宋二KW"/>
    <w:panose1 w:val="020B0400000000000000"/>
    <w:charset w:val="88"/>
    <w:family w:val="auto"/>
    <w:pitch w:val="default"/>
    <w:sig w:usb0="00000000" w:usb1="00000000" w:usb2="00000017" w:usb3="00000000" w:csb0="00100001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NJWO7Q&#10;AAAABQEAAA8AAAAAAAAAAQAgAAAAOAAAAGRycy9kb3ducmV2LnhtbFBLAQIUABQAAAAIAIdO4kBK&#10;283/EgIAABMEAAAOAAAAAAAAAAEAIAAAADUBAABkcnMvZTJvRG9jLnhtbFBLBQYAAAAABgAGAFkB&#10;AAC5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 共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</w:rPr>
    </w:pPr>
    <w:r>
      <w:rPr>
        <w:rFonts w:hint="eastAsia" w:ascii="苹方-港" w:hAnsi="苹方-港" w:eastAsia="苹方-港" w:cs="苹方-港"/>
        <w:color w:val="0051E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-8255</wp:posOffset>
          </wp:positionH>
          <wp:positionV relativeFrom="paragraph">
            <wp:posOffset>-217170</wp:posOffset>
          </wp:positionV>
          <wp:extent cx="5285105" cy="568960"/>
          <wp:effectExtent l="0" t="0" r="0" b="0"/>
          <wp:wrapTopAndBottom/>
          <wp:docPr id="2" name="图片 2" descr="画板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画板1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85105" cy="5689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6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88ECDF"/>
    <w:multiLevelType w:val="singleLevel"/>
    <w:tmpl w:val="9288ECD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BE2E6D5"/>
    <w:multiLevelType w:val="singleLevel"/>
    <w:tmpl w:val="CBE2E6D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2ECDA5B"/>
    <w:multiLevelType w:val="singleLevel"/>
    <w:tmpl w:val="E2ECDA5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A65AA2A"/>
    <w:multiLevelType w:val="singleLevel"/>
    <w:tmpl w:val="EA65AA2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AFC364B"/>
    <w:multiLevelType w:val="singleLevel"/>
    <w:tmpl w:val="5AFC364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CF9845D"/>
    <w:multiLevelType w:val="singleLevel"/>
    <w:tmpl w:val="5CF9845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5DED8A"/>
    <w:rsid w:val="00C16749"/>
    <w:rsid w:val="0176498D"/>
    <w:rsid w:val="01B35E8B"/>
    <w:rsid w:val="01F72EA7"/>
    <w:rsid w:val="02335BFF"/>
    <w:rsid w:val="03E56416"/>
    <w:rsid w:val="050945E6"/>
    <w:rsid w:val="056C573A"/>
    <w:rsid w:val="05F16341"/>
    <w:rsid w:val="06672D10"/>
    <w:rsid w:val="06BB7865"/>
    <w:rsid w:val="06DC7701"/>
    <w:rsid w:val="06E876EC"/>
    <w:rsid w:val="07EC336C"/>
    <w:rsid w:val="080C79F7"/>
    <w:rsid w:val="08432398"/>
    <w:rsid w:val="089A70D3"/>
    <w:rsid w:val="089B434B"/>
    <w:rsid w:val="092E7294"/>
    <w:rsid w:val="09434F56"/>
    <w:rsid w:val="09605A94"/>
    <w:rsid w:val="0BCF6E0C"/>
    <w:rsid w:val="0CD13897"/>
    <w:rsid w:val="0ED74319"/>
    <w:rsid w:val="0F3A63D8"/>
    <w:rsid w:val="105459F7"/>
    <w:rsid w:val="10BF63C8"/>
    <w:rsid w:val="12395141"/>
    <w:rsid w:val="126867E2"/>
    <w:rsid w:val="128D2B22"/>
    <w:rsid w:val="138F2E77"/>
    <w:rsid w:val="13DB074A"/>
    <w:rsid w:val="143D5731"/>
    <w:rsid w:val="14AF79F5"/>
    <w:rsid w:val="14DF2734"/>
    <w:rsid w:val="14ED6ADB"/>
    <w:rsid w:val="15A816F2"/>
    <w:rsid w:val="16DD189B"/>
    <w:rsid w:val="17351C7D"/>
    <w:rsid w:val="17E00A2F"/>
    <w:rsid w:val="1957158C"/>
    <w:rsid w:val="1AE85E9E"/>
    <w:rsid w:val="1B2269B3"/>
    <w:rsid w:val="1B2F03D6"/>
    <w:rsid w:val="1BDC4ABE"/>
    <w:rsid w:val="1C461360"/>
    <w:rsid w:val="1C620C3E"/>
    <w:rsid w:val="1CBD2935"/>
    <w:rsid w:val="1CD938E5"/>
    <w:rsid w:val="1D117F09"/>
    <w:rsid w:val="1D6D1AE6"/>
    <w:rsid w:val="1D872250"/>
    <w:rsid w:val="1D965F49"/>
    <w:rsid w:val="1DC3249A"/>
    <w:rsid w:val="1DCF70C0"/>
    <w:rsid w:val="1FAC51F2"/>
    <w:rsid w:val="1FE53B87"/>
    <w:rsid w:val="20032305"/>
    <w:rsid w:val="208041A1"/>
    <w:rsid w:val="215C0233"/>
    <w:rsid w:val="21714A68"/>
    <w:rsid w:val="2184295E"/>
    <w:rsid w:val="230D4AB1"/>
    <w:rsid w:val="23EB55C0"/>
    <w:rsid w:val="245C6B26"/>
    <w:rsid w:val="24BF0FA9"/>
    <w:rsid w:val="24CA09A9"/>
    <w:rsid w:val="24D70BF9"/>
    <w:rsid w:val="24EA4969"/>
    <w:rsid w:val="25922E9D"/>
    <w:rsid w:val="25AC167F"/>
    <w:rsid w:val="26B36F3D"/>
    <w:rsid w:val="270B32F3"/>
    <w:rsid w:val="279B3B4A"/>
    <w:rsid w:val="28396229"/>
    <w:rsid w:val="29B526B0"/>
    <w:rsid w:val="29FE10C1"/>
    <w:rsid w:val="2A220961"/>
    <w:rsid w:val="2A8862E6"/>
    <w:rsid w:val="2C1E2BA9"/>
    <w:rsid w:val="2C6209FF"/>
    <w:rsid w:val="2F9F5FEF"/>
    <w:rsid w:val="2FAF077C"/>
    <w:rsid w:val="30AD2E8A"/>
    <w:rsid w:val="311504CA"/>
    <w:rsid w:val="313B1291"/>
    <w:rsid w:val="32D9375D"/>
    <w:rsid w:val="331A07AC"/>
    <w:rsid w:val="33FD56A8"/>
    <w:rsid w:val="348D4DEB"/>
    <w:rsid w:val="35A26089"/>
    <w:rsid w:val="35A771B0"/>
    <w:rsid w:val="35FA0735"/>
    <w:rsid w:val="35FD369D"/>
    <w:rsid w:val="360954D6"/>
    <w:rsid w:val="373F3DD0"/>
    <w:rsid w:val="37831318"/>
    <w:rsid w:val="387D3CB4"/>
    <w:rsid w:val="389668C1"/>
    <w:rsid w:val="389B0675"/>
    <w:rsid w:val="38F577FA"/>
    <w:rsid w:val="3A262EBA"/>
    <w:rsid w:val="3A277FA2"/>
    <w:rsid w:val="3B7133A2"/>
    <w:rsid w:val="3C6E3981"/>
    <w:rsid w:val="3CA03637"/>
    <w:rsid w:val="3D133CE5"/>
    <w:rsid w:val="3D3E024E"/>
    <w:rsid w:val="3E016E49"/>
    <w:rsid w:val="3E184A3C"/>
    <w:rsid w:val="3E281AE1"/>
    <w:rsid w:val="3FBB65F8"/>
    <w:rsid w:val="3FE71697"/>
    <w:rsid w:val="3FFA2FF7"/>
    <w:rsid w:val="412A54D8"/>
    <w:rsid w:val="412C1423"/>
    <w:rsid w:val="41DC7D41"/>
    <w:rsid w:val="426B79C9"/>
    <w:rsid w:val="42915949"/>
    <w:rsid w:val="42A074AD"/>
    <w:rsid w:val="432D411E"/>
    <w:rsid w:val="440F2C94"/>
    <w:rsid w:val="441F6658"/>
    <w:rsid w:val="44C2578E"/>
    <w:rsid w:val="461F6048"/>
    <w:rsid w:val="46357378"/>
    <w:rsid w:val="464E1C7A"/>
    <w:rsid w:val="46C4610A"/>
    <w:rsid w:val="4729368E"/>
    <w:rsid w:val="473655F0"/>
    <w:rsid w:val="47D92057"/>
    <w:rsid w:val="484D52F1"/>
    <w:rsid w:val="485642D2"/>
    <w:rsid w:val="48762022"/>
    <w:rsid w:val="487A412A"/>
    <w:rsid w:val="493E36F0"/>
    <w:rsid w:val="49F16AFD"/>
    <w:rsid w:val="4A3607E8"/>
    <w:rsid w:val="4AF558A7"/>
    <w:rsid w:val="4C143D6F"/>
    <w:rsid w:val="4C384749"/>
    <w:rsid w:val="4C7A057D"/>
    <w:rsid w:val="4D8B25AA"/>
    <w:rsid w:val="4E5A7B57"/>
    <w:rsid w:val="4EA54716"/>
    <w:rsid w:val="4EF1171A"/>
    <w:rsid w:val="4F084330"/>
    <w:rsid w:val="4F32408A"/>
    <w:rsid w:val="4F8E7852"/>
    <w:rsid w:val="50262B46"/>
    <w:rsid w:val="51E43E4C"/>
    <w:rsid w:val="528A4003"/>
    <w:rsid w:val="52C37753"/>
    <w:rsid w:val="53270B95"/>
    <w:rsid w:val="543E6A20"/>
    <w:rsid w:val="54797C26"/>
    <w:rsid w:val="54CF1C3B"/>
    <w:rsid w:val="56F25DDA"/>
    <w:rsid w:val="583F6C58"/>
    <w:rsid w:val="58853DD9"/>
    <w:rsid w:val="59EC5FF4"/>
    <w:rsid w:val="5ABE3B64"/>
    <w:rsid w:val="5B44174A"/>
    <w:rsid w:val="5B863C86"/>
    <w:rsid w:val="5B8E5D15"/>
    <w:rsid w:val="5F060F63"/>
    <w:rsid w:val="5F3A31CA"/>
    <w:rsid w:val="5F7345AD"/>
    <w:rsid w:val="5F734D53"/>
    <w:rsid w:val="5FC82A4A"/>
    <w:rsid w:val="6000523B"/>
    <w:rsid w:val="605DED8A"/>
    <w:rsid w:val="610E149F"/>
    <w:rsid w:val="61150C2E"/>
    <w:rsid w:val="61EF21E5"/>
    <w:rsid w:val="62336953"/>
    <w:rsid w:val="63F41B7D"/>
    <w:rsid w:val="64A77807"/>
    <w:rsid w:val="65ED720D"/>
    <w:rsid w:val="666F1CD7"/>
    <w:rsid w:val="67136E10"/>
    <w:rsid w:val="6749108B"/>
    <w:rsid w:val="676D59F6"/>
    <w:rsid w:val="686228E8"/>
    <w:rsid w:val="696F3C15"/>
    <w:rsid w:val="6987582F"/>
    <w:rsid w:val="69A54369"/>
    <w:rsid w:val="69A97B13"/>
    <w:rsid w:val="69BF4919"/>
    <w:rsid w:val="69DF37EC"/>
    <w:rsid w:val="6C3525EB"/>
    <w:rsid w:val="6C7310BA"/>
    <w:rsid w:val="6D857AFD"/>
    <w:rsid w:val="6F4052BB"/>
    <w:rsid w:val="6F6D4A32"/>
    <w:rsid w:val="6F736566"/>
    <w:rsid w:val="6FAB4125"/>
    <w:rsid w:val="6FB303D4"/>
    <w:rsid w:val="6FE07617"/>
    <w:rsid w:val="6FE91D0E"/>
    <w:rsid w:val="6FF93C79"/>
    <w:rsid w:val="6FFB083B"/>
    <w:rsid w:val="703250E1"/>
    <w:rsid w:val="706C3CFB"/>
    <w:rsid w:val="71637DAD"/>
    <w:rsid w:val="71E43B28"/>
    <w:rsid w:val="724232F6"/>
    <w:rsid w:val="73726385"/>
    <w:rsid w:val="7461061B"/>
    <w:rsid w:val="74803115"/>
    <w:rsid w:val="750D390F"/>
    <w:rsid w:val="76BC3F1E"/>
    <w:rsid w:val="770317B0"/>
    <w:rsid w:val="77FD7A62"/>
    <w:rsid w:val="79136CFF"/>
    <w:rsid w:val="79957A5B"/>
    <w:rsid w:val="79EF23FD"/>
    <w:rsid w:val="7BBC5F40"/>
    <w:rsid w:val="7C941C7B"/>
    <w:rsid w:val="7E111E3F"/>
    <w:rsid w:val="7E5722FA"/>
    <w:rsid w:val="7E5F17FB"/>
    <w:rsid w:val="7EB31A19"/>
    <w:rsid w:val="7EDE406F"/>
    <w:rsid w:val="7F631BF0"/>
    <w:rsid w:val="7F931F4B"/>
    <w:rsid w:val="DFFDA70F"/>
    <w:rsid w:val="FBED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beforeLines="0" w:beforeAutospacing="0" w:after="240" w:afterLines="0" w:afterAutospacing="0" w:line="240" w:lineRule="exact"/>
      <w:jc w:val="center"/>
      <w:outlineLvl w:val="0"/>
    </w:pPr>
    <w:rPr>
      <w:rFonts w:eastAsia="微软雅黑"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jc w:val="left"/>
      <w:outlineLvl w:val="1"/>
    </w:pPr>
    <w:rPr>
      <w:rFonts w:ascii="Arial" w:hAnsi="Arial" w:eastAsia="微软雅黑"/>
      <w:b/>
      <w:sz w:val="28"/>
      <w:szCs w:val="21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800080"/>
      <w:u w:val="singl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styleId="13">
    <w:name w:val="annotation reference"/>
    <w:basedOn w:val="9"/>
    <w:unhideWhenUsed/>
    <w:qFormat/>
    <w:uiPriority w:val="99"/>
    <w:rPr>
      <w:sz w:val="21"/>
      <w:szCs w:val="21"/>
    </w:rPr>
  </w:style>
  <w:style w:type="character" w:customStyle="1" w:styleId="14">
    <w:name w:val="fontstyle01"/>
    <w:basedOn w:val="9"/>
    <w:qFormat/>
    <w:uiPriority w:val="0"/>
    <w:rPr>
      <w:rFonts w:ascii="MicrosoftYaHei" w:hAnsi="MicrosoftYaHei" w:eastAsia="MicrosoftYaHei" w:cs="MicrosoftYaHei"/>
      <w:color w:val="000000"/>
      <w:sz w:val="22"/>
      <w:szCs w:val="22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jpe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2020-07-17T07:10:00Z</dcterms:created>
  <dc:creator>sheji</dc:creator>
  <cp:lastModifiedBy>微淼</cp:lastModifiedBy>
  <dcterms:modified xsi:type="dcterms:W3CDTF">2020-09-03T11:21:40Z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